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AC" w:rsidRPr="002215B7" w:rsidRDefault="00943FAC" w:rsidP="002215B7">
      <w:pPr>
        <w:spacing w:line="260" w:lineRule="auto"/>
        <w:jc w:val="center"/>
        <w:rPr>
          <w:rFonts w:ascii="Arial" w:hAnsi="Arial"/>
          <w:b/>
          <w:sz w:val="32"/>
          <w:szCs w:val="24"/>
          <w:lang w:val="de-DE"/>
        </w:rPr>
      </w:pPr>
      <w:bookmarkStart w:id="0" w:name="_GoBack"/>
      <w:r w:rsidRPr="002215B7">
        <w:rPr>
          <w:rFonts w:ascii="Arial" w:hAnsi="Arial"/>
          <w:b/>
          <w:sz w:val="32"/>
          <w:szCs w:val="24"/>
          <w:lang w:val="de-DE"/>
        </w:rPr>
        <w:t>Finanztransaktionssteuer:</w:t>
      </w:r>
      <w:r w:rsidRPr="002215B7">
        <w:rPr>
          <w:rFonts w:ascii="Arial" w:hAnsi="Arial"/>
          <w:b/>
          <w:sz w:val="32"/>
          <w:szCs w:val="24"/>
          <w:lang w:val="de-DE"/>
        </w:rPr>
        <w:br/>
        <w:t>Ausnahme für Derivate würde die Steuer unterminieren</w:t>
      </w:r>
      <w:bookmarkEnd w:id="0"/>
    </w:p>
    <w:p w:rsidR="00943FAC" w:rsidRDefault="00943FAC" w:rsidP="004E0984">
      <w:pPr>
        <w:spacing w:after="80" w:line="240" w:lineRule="auto"/>
        <w:jc w:val="both"/>
        <w:rPr>
          <w:rFonts w:ascii="Arial" w:hAnsi="Arial"/>
          <w:szCs w:val="24"/>
          <w:lang w:val="de-DE"/>
        </w:rPr>
      </w:pPr>
    </w:p>
    <w:p w:rsidR="00943FAC" w:rsidRDefault="00943FAC" w:rsidP="004E0984">
      <w:pPr>
        <w:spacing w:after="80" w:line="240" w:lineRule="auto"/>
        <w:jc w:val="both"/>
        <w:rPr>
          <w:rFonts w:ascii="Arial" w:hAnsi="Arial"/>
          <w:i/>
          <w:szCs w:val="24"/>
          <w:lang w:val="de-DE"/>
        </w:rPr>
      </w:pPr>
      <w:r w:rsidRPr="009A3E01">
        <w:rPr>
          <w:rFonts w:ascii="Arial" w:hAnsi="Arial"/>
          <w:szCs w:val="24"/>
          <w:lang w:val="de-DE"/>
        </w:rPr>
        <w:t>Elf Mitgliedstaaten der EU beabsichtigen, vor den Wahlen zum Europaparlament im Mai eine Fi</w:t>
      </w:r>
      <w:r>
        <w:rPr>
          <w:rFonts w:ascii="Arial" w:hAnsi="Arial"/>
          <w:szCs w:val="24"/>
          <w:lang w:val="de-DE"/>
        </w:rPr>
        <w:t>nanzmarkttransaktionssteuer (FTS</w:t>
      </w:r>
      <w:r w:rsidRPr="009A3E01">
        <w:rPr>
          <w:rFonts w:ascii="Arial" w:hAnsi="Arial"/>
          <w:szCs w:val="24"/>
          <w:lang w:val="de-DE"/>
        </w:rPr>
        <w:t>) zu beschließen. Die Eckpunkte</w:t>
      </w:r>
      <w:r w:rsidRPr="00A53174">
        <w:rPr>
          <w:rFonts w:ascii="Arial" w:hAnsi="Arial"/>
          <w:szCs w:val="24"/>
          <w:lang w:val="de-DE"/>
        </w:rPr>
        <w:t xml:space="preserve"> werden aber möglicherweise schon vorher </w:t>
      </w:r>
      <w:r>
        <w:rPr>
          <w:rFonts w:ascii="Arial" w:hAnsi="Arial"/>
          <w:szCs w:val="24"/>
          <w:lang w:val="de-DE"/>
        </w:rPr>
        <w:t xml:space="preserve">im Februar zwischen </w:t>
      </w:r>
      <w:r w:rsidRPr="00A53174">
        <w:rPr>
          <w:rFonts w:ascii="Arial" w:hAnsi="Arial"/>
          <w:szCs w:val="24"/>
          <w:lang w:val="de-DE"/>
        </w:rPr>
        <w:t>F</w:t>
      </w:r>
      <w:r>
        <w:rPr>
          <w:rFonts w:ascii="Arial" w:hAnsi="Arial"/>
          <w:szCs w:val="24"/>
          <w:lang w:val="de-DE"/>
        </w:rPr>
        <w:t>rankreich und</w:t>
      </w:r>
      <w:r w:rsidRPr="00A53174">
        <w:rPr>
          <w:rFonts w:ascii="Arial" w:hAnsi="Arial"/>
          <w:szCs w:val="24"/>
          <w:lang w:val="de-DE"/>
        </w:rPr>
        <w:t xml:space="preserve"> Deutschland </w:t>
      </w:r>
      <w:r>
        <w:rPr>
          <w:rFonts w:ascii="Arial" w:hAnsi="Arial"/>
          <w:szCs w:val="24"/>
          <w:lang w:val="de-DE"/>
        </w:rPr>
        <w:t>vereinbart</w:t>
      </w:r>
      <w:r w:rsidRPr="00A53174">
        <w:rPr>
          <w:rFonts w:ascii="Arial" w:hAnsi="Arial"/>
          <w:szCs w:val="24"/>
          <w:lang w:val="de-DE"/>
        </w:rPr>
        <w:t xml:space="preserve">. </w:t>
      </w:r>
    </w:p>
    <w:p w:rsidR="00943FAC" w:rsidRDefault="00943FAC" w:rsidP="004E0984">
      <w:pPr>
        <w:spacing w:after="80" w:line="240" w:lineRule="auto"/>
        <w:jc w:val="both"/>
        <w:rPr>
          <w:rFonts w:ascii="Arial" w:hAnsi="Arial"/>
          <w:b/>
          <w:szCs w:val="24"/>
          <w:lang w:val="de-DE"/>
        </w:rPr>
      </w:pPr>
      <w:r>
        <w:rPr>
          <w:rFonts w:ascii="Arial" w:hAnsi="Arial"/>
          <w:b/>
          <w:szCs w:val="24"/>
          <w:lang w:val="de-DE"/>
        </w:rPr>
        <w:t xml:space="preserve">Dabei stellt sich als Problem heraus, dass das französische Finanzministerium unter dem Druck der Finanzlobby beabsichtigt, </w:t>
      </w:r>
      <w:r w:rsidRPr="00A53174">
        <w:rPr>
          <w:rFonts w:ascii="Arial" w:hAnsi="Arial"/>
          <w:b/>
          <w:szCs w:val="24"/>
          <w:lang w:val="de-DE"/>
        </w:rPr>
        <w:t>Derivate von d</w:t>
      </w:r>
      <w:r>
        <w:rPr>
          <w:rFonts w:ascii="Arial" w:hAnsi="Arial"/>
          <w:b/>
          <w:szCs w:val="24"/>
          <w:lang w:val="de-DE"/>
        </w:rPr>
        <w:t xml:space="preserve">er Steuer auszunehmen. </w:t>
      </w:r>
    </w:p>
    <w:p w:rsidR="00943FAC" w:rsidRDefault="00943FAC" w:rsidP="004E0984">
      <w:pPr>
        <w:spacing w:after="80" w:line="240" w:lineRule="auto"/>
        <w:jc w:val="both"/>
        <w:rPr>
          <w:rFonts w:ascii="Arial" w:hAnsi="Arial"/>
          <w:szCs w:val="24"/>
          <w:lang w:val="de-DE"/>
        </w:rPr>
      </w:pPr>
    </w:p>
    <w:p w:rsidR="00943FAC" w:rsidRPr="002215B7" w:rsidRDefault="00943FAC" w:rsidP="004E0984">
      <w:pPr>
        <w:spacing w:after="80" w:line="240" w:lineRule="auto"/>
        <w:jc w:val="both"/>
        <w:rPr>
          <w:rFonts w:ascii="Arial" w:hAnsi="Arial"/>
          <w:b/>
          <w:sz w:val="24"/>
          <w:szCs w:val="24"/>
          <w:u w:val="single"/>
          <w:lang w:val="de-DE"/>
        </w:rPr>
      </w:pPr>
      <w:r w:rsidRPr="002215B7">
        <w:rPr>
          <w:rFonts w:ascii="Arial" w:hAnsi="Arial"/>
          <w:b/>
          <w:sz w:val="24"/>
          <w:szCs w:val="24"/>
          <w:u w:val="single"/>
          <w:lang w:val="de-DE"/>
        </w:rPr>
        <w:t>Ohne Derivate Einnahmeverlust von über 60 Prozent</w:t>
      </w:r>
    </w:p>
    <w:p w:rsidR="00943FAC" w:rsidRDefault="00943FAC" w:rsidP="004E0984">
      <w:pPr>
        <w:spacing w:after="80" w:line="240" w:lineRule="auto"/>
        <w:jc w:val="both"/>
        <w:rPr>
          <w:rFonts w:ascii="Arial" w:hAnsi="Arial"/>
          <w:szCs w:val="24"/>
          <w:lang w:val="de-DE"/>
        </w:rPr>
      </w:pPr>
      <w:r w:rsidRPr="009A3E01">
        <w:rPr>
          <w:rFonts w:ascii="Arial" w:hAnsi="Arial"/>
          <w:szCs w:val="24"/>
          <w:lang w:val="de-DE"/>
        </w:rPr>
        <w:t>Alle bedeutenden Studien zu diesem Thema sind sich einig, dass dem Fiskus durch eine solche Ausnahmeregelung etwa</w:t>
      </w:r>
      <w:r>
        <w:rPr>
          <w:rFonts w:ascii="Arial" w:hAnsi="Arial"/>
          <w:szCs w:val="24"/>
          <w:lang w:val="de-DE"/>
        </w:rPr>
        <w:t xml:space="preserve"> zwei Drittel der Einnahmen </w:t>
      </w:r>
      <w:r w:rsidRPr="009A3E01">
        <w:rPr>
          <w:rFonts w:ascii="Arial" w:hAnsi="Arial"/>
          <w:szCs w:val="24"/>
          <w:lang w:val="de-DE"/>
        </w:rPr>
        <w:t xml:space="preserve">entgehen würden. </w:t>
      </w:r>
      <w:r>
        <w:rPr>
          <w:rFonts w:ascii="Arial" w:hAnsi="Arial"/>
          <w:szCs w:val="24"/>
          <w:lang w:val="de-DE"/>
        </w:rPr>
        <w:t xml:space="preserve">Nach Berechnungen der Europäischen Kommission würde eine FTS unter Einschluss von Derivaten (bei einem Steuersatz für Aktien und Anleihen von 0,1% und für Derivate von 0,01%) Einnahmen von 34 Mrd. Euro bringen. Davon entfallen aber </w:t>
      </w:r>
      <w:r w:rsidRPr="00A53174">
        <w:rPr>
          <w:rFonts w:ascii="Arial" w:hAnsi="Arial"/>
          <w:szCs w:val="24"/>
          <w:lang w:val="de-DE"/>
        </w:rPr>
        <w:t>21 Mrd. </w:t>
      </w:r>
      <w:r>
        <w:rPr>
          <w:rFonts w:ascii="Arial" w:hAnsi="Arial"/>
          <w:szCs w:val="24"/>
          <w:lang w:val="de-DE"/>
        </w:rPr>
        <w:t>Euro auf Derivate, also 62% der Einnahmen.</w:t>
      </w:r>
      <w:r w:rsidRPr="00A53174">
        <w:rPr>
          <w:rStyle w:val="FootnoteReference"/>
          <w:rFonts w:ascii="Arial" w:hAnsi="Arial"/>
          <w:szCs w:val="24"/>
          <w:lang w:val="de-DE"/>
        </w:rPr>
        <w:footnoteReference w:id="1"/>
      </w:r>
      <w:r w:rsidRPr="00A53174">
        <w:rPr>
          <w:rFonts w:ascii="Arial" w:hAnsi="Arial"/>
          <w:szCs w:val="24"/>
          <w:lang w:val="de-DE"/>
        </w:rPr>
        <w:t xml:space="preserve"> </w:t>
      </w:r>
      <w:r>
        <w:rPr>
          <w:rFonts w:ascii="Arial" w:hAnsi="Arial"/>
          <w:szCs w:val="24"/>
          <w:lang w:val="de-DE"/>
        </w:rPr>
        <w:t>Werden Derivate ausgenommen, würden die Einnahmen auf 13 Mrd. Euro schrumpfen.</w:t>
      </w:r>
    </w:p>
    <w:p w:rsidR="00943FAC" w:rsidRPr="00036774" w:rsidRDefault="00943FAC" w:rsidP="004E0984">
      <w:pPr>
        <w:spacing w:after="80" w:line="240" w:lineRule="auto"/>
        <w:jc w:val="both"/>
        <w:rPr>
          <w:rFonts w:ascii="Arial" w:hAnsi="Arial"/>
          <w:b/>
          <w:szCs w:val="24"/>
          <w:lang w:val="de-DE"/>
        </w:rPr>
      </w:pPr>
      <w:r>
        <w:rPr>
          <w:rFonts w:ascii="Arial" w:hAnsi="Arial"/>
          <w:b/>
          <w:szCs w:val="24"/>
          <w:lang w:val="de-DE"/>
        </w:rPr>
        <w:t>Auf Deutschland würden bei Einbeziehung von Derivaten 11,75 Mrd. Euro entfallen. Würden Derivate ausgenommen, blieben nur noch 4,5 Mrd. Euro übrig.</w:t>
      </w:r>
    </w:p>
    <w:p w:rsidR="00943FAC" w:rsidRPr="00D5531C" w:rsidRDefault="00943FAC" w:rsidP="004E0984">
      <w:pPr>
        <w:spacing w:after="80" w:line="240" w:lineRule="auto"/>
        <w:jc w:val="both"/>
        <w:rPr>
          <w:rFonts w:ascii="Arial" w:hAnsi="Arial"/>
          <w:szCs w:val="24"/>
          <w:lang w:val="de-DE"/>
        </w:rPr>
      </w:pPr>
      <w:r w:rsidRPr="00A53174">
        <w:rPr>
          <w:rFonts w:ascii="Arial" w:hAnsi="Arial"/>
          <w:szCs w:val="24"/>
          <w:lang w:val="de-DE"/>
        </w:rPr>
        <w:t xml:space="preserve">Der Schaden könnte sogar noch größer </w:t>
      </w:r>
      <w:r>
        <w:rPr>
          <w:rFonts w:ascii="Arial" w:hAnsi="Arial"/>
          <w:szCs w:val="24"/>
          <w:lang w:val="de-DE"/>
        </w:rPr>
        <w:t>werden</w:t>
      </w:r>
      <w:r w:rsidRPr="00A53174">
        <w:rPr>
          <w:rFonts w:ascii="Arial" w:hAnsi="Arial"/>
          <w:szCs w:val="24"/>
          <w:lang w:val="de-DE"/>
        </w:rPr>
        <w:t xml:space="preserve">: Sollte es eine Ausnahme für Derivate geben, so ließe sich </w:t>
      </w:r>
      <w:r>
        <w:rPr>
          <w:rFonts w:ascii="Arial" w:hAnsi="Arial"/>
          <w:szCs w:val="24"/>
          <w:lang w:val="de-DE"/>
        </w:rPr>
        <w:t>ein Großteil der</w:t>
      </w:r>
      <w:r w:rsidRPr="00A53174">
        <w:rPr>
          <w:rFonts w:ascii="Arial" w:hAnsi="Arial"/>
          <w:szCs w:val="24"/>
          <w:lang w:val="de-DE"/>
        </w:rPr>
        <w:t xml:space="preserve"> Steuer auf Aktien und Anleihen </w:t>
      </w:r>
      <w:r>
        <w:rPr>
          <w:rFonts w:ascii="Arial" w:hAnsi="Arial"/>
          <w:szCs w:val="24"/>
          <w:lang w:val="de-DE"/>
        </w:rPr>
        <w:t>mit Hilfe von Derivaten</w:t>
      </w:r>
      <w:r w:rsidRPr="00A53174">
        <w:rPr>
          <w:rFonts w:ascii="Arial" w:hAnsi="Arial"/>
          <w:szCs w:val="24"/>
          <w:lang w:val="de-DE"/>
        </w:rPr>
        <w:t xml:space="preserve"> </w:t>
      </w:r>
      <w:r>
        <w:rPr>
          <w:rFonts w:ascii="Arial" w:hAnsi="Arial"/>
          <w:szCs w:val="24"/>
          <w:lang w:val="de-DE"/>
        </w:rPr>
        <w:t>auch noch umgehen</w:t>
      </w:r>
      <w:r w:rsidRPr="00A53174">
        <w:rPr>
          <w:rFonts w:ascii="Arial" w:hAnsi="Arial"/>
          <w:szCs w:val="24"/>
          <w:lang w:val="de-DE"/>
        </w:rPr>
        <w:t xml:space="preserve">. Eine Ausnahmeregelung für Derivate würde die Steuer also </w:t>
      </w:r>
      <w:r>
        <w:rPr>
          <w:rFonts w:ascii="Arial" w:hAnsi="Arial"/>
          <w:szCs w:val="24"/>
          <w:lang w:val="de-DE"/>
        </w:rPr>
        <w:t xml:space="preserve">ganz entscheidend </w:t>
      </w:r>
      <w:r w:rsidRPr="00A53174">
        <w:rPr>
          <w:rFonts w:ascii="Arial" w:hAnsi="Arial"/>
          <w:szCs w:val="24"/>
          <w:lang w:val="de-DE"/>
        </w:rPr>
        <w:t>unterminieren.</w:t>
      </w:r>
      <w:r>
        <w:rPr>
          <w:rFonts w:ascii="Arial" w:hAnsi="Arial"/>
          <w:szCs w:val="24"/>
          <w:lang w:val="de-DE"/>
        </w:rPr>
        <w:t xml:space="preserve"> </w:t>
      </w:r>
    </w:p>
    <w:p w:rsidR="00943FAC" w:rsidRPr="00036774" w:rsidRDefault="00943FAC" w:rsidP="004E0984">
      <w:pPr>
        <w:spacing w:after="80" w:line="240" w:lineRule="auto"/>
        <w:jc w:val="both"/>
        <w:rPr>
          <w:rFonts w:ascii="Arial" w:hAnsi="Arial"/>
          <w:szCs w:val="24"/>
          <w:lang w:val="de-DE"/>
        </w:rPr>
      </w:pPr>
      <w:r w:rsidRPr="00036774">
        <w:rPr>
          <w:rFonts w:ascii="Arial" w:hAnsi="Arial"/>
          <w:szCs w:val="24"/>
          <w:lang w:val="de-DE"/>
        </w:rPr>
        <w:t>Angesichts der</w:t>
      </w:r>
      <w:r>
        <w:rPr>
          <w:rFonts w:ascii="Arial" w:hAnsi="Arial"/>
          <w:szCs w:val="24"/>
          <w:lang w:val="de-DE"/>
        </w:rPr>
        <w:t xml:space="preserve"> 65 -70 Mrd. Euro die nach Berechnungen des Max Planck Instituts  allein in Deutschland direkt zur Rettung der Banken aufgewendet wurden – d.h. ohne die Lasten der Konjunkturprogramme zur Abfederung der Krise und die Kosten der Rezession von 5,1% des deutschen BIP, die durch die Finanzkrise ausgelöst wurde – ist es völlig ungerechtfertigt, der Finanzindustrie jetzt ein weiteres Geschenk zu machen.</w:t>
      </w:r>
    </w:p>
    <w:p w:rsidR="00943FAC" w:rsidRDefault="00943FAC" w:rsidP="004E0984">
      <w:pPr>
        <w:spacing w:after="80" w:line="240" w:lineRule="auto"/>
        <w:jc w:val="both"/>
        <w:rPr>
          <w:rFonts w:ascii="Arial" w:hAnsi="Arial"/>
          <w:b/>
          <w:szCs w:val="24"/>
          <w:lang w:val="de-DE"/>
        </w:rPr>
      </w:pPr>
    </w:p>
    <w:p w:rsidR="00943FAC" w:rsidRPr="002215B7" w:rsidRDefault="00943FAC" w:rsidP="004E0984">
      <w:pPr>
        <w:spacing w:after="80" w:line="240" w:lineRule="auto"/>
        <w:jc w:val="both"/>
        <w:rPr>
          <w:rFonts w:ascii="Arial" w:hAnsi="Arial"/>
          <w:b/>
          <w:sz w:val="24"/>
          <w:szCs w:val="24"/>
          <w:u w:val="single"/>
          <w:lang w:val="de-DE"/>
        </w:rPr>
      </w:pPr>
      <w:r w:rsidRPr="002215B7">
        <w:rPr>
          <w:rFonts w:ascii="Arial" w:hAnsi="Arial"/>
          <w:b/>
          <w:sz w:val="24"/>
          <w:szCs w:val="24"/>
          <w:u w:val="single"/>
          <w:lang w:val="de-DE"/>
        </w:rPr>
        <w:t>Ohne Derivate bleiben die gefährlichsten</w:t>
      </w:r>
      <w:r>
        <w:rPr>
          <w:rFonts w:ascii="Arial" w:hAnsi="Arial"/>
          <w:b/>
          <w:sz w:val="24"/>
          <w:szCs w:val="24"/>
          <w:u w:val="single"/>
          <w:lang w:val="de-DE"/>
        </w:rPr>
        <w:t xml:space="preserve"> W</w:t>
      </w:r>
      <w:r w:rsidRPr="002215B7">
        <w:rPr>
          <w:rFonts w:ascii="Arial" w:hAnsi="Arial"/>
          <w:b/>
          <w:sz w:val="24"/>
          <w:szCs w:val="24"/>
          <w:u w:val="single"/>
          <w:lang w:val="de-DE"/>
        </w:rPr>
        <w:t>ertpapiere verschont</w:t>
      </w:r>
    </w:p>
    <w:p w:rsidR="00943FAC" w:rsidRPr="00A53174" w:rsidRDefault="00943FAC" w:rsidP="004E0984">
      <w:pPr>
        <w:spacing w:after="80" w:line="240" w:lineRule="auto"/>
        <w:jc w:val="both"/>
        <w:rPr>
          <w:rFonts w:ascii="Arial" w:hAnsi="Arial"/>
          <w:szCs w:val="24"/>
          <w:lang w:val="de-DE"/>
        </w:rPr>
      </w:pPr>
      <w:r w:rsidRPr="00A53174">
        <w:rPr>
          <w:rFonts w:ascii="Arial" w:hAnsi="Arial"/>
          <w:b/>
          <w:szCs w:val="24"/>
          <w:lang w:val="de-DE"/>
        </w:rPr>
        <w:t xml:space="preserve">Derivate von der Steuer auszunehmen, würde </w:t>
      </w:r>
      <w:r>
        <w:rPr>
          <w:rFonts w:ascii="Arial" w:hAnsi="Arial"/>
          <w:b/>
          <w:szCs w:val="24"/>
          <w:lang w:val="de-DE"/>
        </w:rPr>
        <w:t xml:space="preserve">darüber hinaus </w:t>
      </w:r>
      <w:r w:rsidRPr="00A53174">
        <w:rPr>
          <w:rFonts w:ascii="Arial" w:hAnsi="Arial"/>
          <w:b/>
          <w:szCs w:val="24"/>
          <w:lang w:val="de-DE"/>
        </w:rPr>
        <w:t>bedeuten, genau die Finanzinstrumente zu ver</w:t>
      </w:r>
      <w:r>
        <w:rPr>
          <w:rFonts w:ascii="Arial" w:hAnsi="Arial"/>
          <w:b/>
          <w:szCs w:val="24"/>
          <w:lang w:val="de-DE"/>
        </w:rPr>
        <w:t>schonen, die 2008 maßgeblich zur</w:t>
      </w:r>
      <w:r w:rsidRPr="00A53174">
        <w:rPr>
          <w:rFonts w:ascii="Arial" w:hAnsi="Arial"/>
          <w:b/>
          <w:szCs w:val="24"/>
          <w:lang w:val="de-DE"/>
        </w:rPr>
        <w:t xml:space="preserve"> Finanz</w:t>
      </w:r>
      <w:r>
        <w:rPr>
          <w:rFonts w:ascii="Arial" w:hAnsi="Arial"/>
          <w:b/>
          <w:szCs w:val="24"/>
          <w:lang w:val="de-DE"/>
        </w:rPr>
        <w:t xml:space="preserve">krise </w:t>
      </w:r>
      <w:r w:rsidRPr="00A53174">
        <w:rPr>
          <w:rFonts w:ascii="Arial" w:hAnsi="Arial"/>
          <w:b/>
          <w:szCs w:val="24"/>
          <w:lang w:val="de-DE"/>
        </w:rPr>
        <w:t>geführt haben.</w:t>
      </w:r>
      <w:r w:rsidRPr="00A53174">
        <w:rPr>
          <w:rFonts w:ascii="Arial" w:hAnsi="Arial"/>
          <w:szCs w:val="24"/>
          <w:lang w:val="de-DE"/>
        </w:rPr>
        <w:t xml:space="preserve"> Die FTT kann nur dann zur Marktstabilisierung beitragen, wenn sie auf ein breites Spektrum von Transaktionen erhoben wird. Gäbe es eine Ausnahme für Derivate, würde dies genau den falschen Anreiz </w:t>
      </w:r>
      <w:r>
        <w:rPr>
          <w:rFonts w:ascii="Arial" w:hAnsi="Arial"/>
          <w:szCs w:val="24"/>
          <w:lang w:val="de-DE"/>
        </w:rPr>
        <w:t>setzen</w:t>
      </w:r>
      <w:r w:rsidRPr="00A53174">
        <w:rPr>
          <w:rFonts w:ascii="Arial" w:hAnsi="Arial"/>
          <w:szCs w:val="24"/>
          <w:lang w:val="de-DE"/>
        </w:rPr>
        <w:t xml:space="preserve">, nämlich </w:t>
      </w:r>
      <w:r w:rsidRPr="00FA486C">
        <w:rPr>
          <w:rFonts w:ascii="Arial" w:hAnsi="Arial"/>
          <w:szCs w:val="24"/>
          <w:lang w:val="de-DE"/>
        </w:rPr>
        <w:t>noch mehr</w:t>
      </w:r>
      <w:r w:rsidRPr="00A53174">
        <w:rPr>
          <w:rFonts w:ascii="Arial" w:hAnsi="Arial"/>
          <w:szCs w:val="24"/>
          <w:lang w:val="de-DE"/>
        </w:rPr>
        <w:t xml:space="preserve"> mit Derivaten zu handeln. Das ist schon jetzt ein Problem: </w:t>
      </w:r>
      <w:r w:rsidRPr="00A53174">
        <w:rPr>
          <w:rFonts w:ascii="Arial" w:hAnsi="Arial"/>
          <w:i/>
          <w:szCs w:val="24"/>
          <w:lang w:val="de-DE"/>
        </w:rPr>
        <w:t xml:space="preserve">In Deutschland hat sich </w:t>
      </w:r>
      <w:r>
        <w:rPr>
          <w:rFonts w:ascii="Arial" w:hAnsi="Arial"/>
          <w:i/>
          <w:szCs w:val="24"/>
          <w:lang w:val="de-DE"/>
        </w:rPr>
        <w:t xml:space="preserve">z.B. </w:t>
      </w:r>
      <w:r w:rsidRPr="00A53174">
        <w:rPr>
          <w:rFonts w:ascii="Arial" w:hAnsi="Arial"/>
          <w:i/>
          <w:szCs w:val="24"/>
          <w:lang w:val="de-DE"/>
        </w:rPr>
        <w:t>der außerbörsliche Handel mit Zinsderivaten von April 2010 bis April 2013 auf mehr als 100 Mrd. $ täglich verdoppelt.</w:t>
      </w:r>
      <w:r w:rsidRPr="00A53174">
        <w:rPr>
          <w:rStyle w:val="FootnoteReference"/>
          <w:rFonts w:ascii="Arial" w:hAnsi="Arial"/>
          <w:szCs w:val="24"/>
          <w:lang w:val="de-DE"/>
        </w:rPr>
        <w:footnoteReference w:id="2"/>
      </w:r>
      <w:r w:rsidRPr="00A53174">
        <w:rPr>
          <w:rFonts w:ascii="Arial" w:hAnsi="Arial"/>
          <w:szCs w:val="24"/>
          <w:lang w:val="de-DE"/>
        </w:rPr>
        <w:t xml:space="preserve"> In einem Zeitraum von etwa drei Wochen wird jeweils das Äquivalent des Gesamt-BIP aller EU-Staaten in auf Euro lautenden Zinsderivaten gehandelt</w:t>
      </w:r>
      <w:r w:rsidRPr="00A53174">
        <w:rPr>
          <w:rStyle w:val="FootnoteReference"/>
          <w:rFonts w:ascii="Arial" w:hAnsi="Arial"/>
          <w:szCs w:val="24"/>
          <w:lang w:val="de-DE"/>
        </w:rPr>
        <w:footnoteReference w:id="3"/>
      </w:r>
      <w:r w:rsidRPr="00A53174">
        <w:rPr>
          <w:rFonts w:ascii="Arial" w:hAnsi="Arial"/>
          <w:szCs w:val="24"/>
          <w:lang w:val="de-DE"/>
        </w:rPr>
        <w:t xml:space="preserve">, und die auf Euro lautenden </w:t>
      </w:r>
      <w:r>
        <w:rPr>
          <w:rFonts w:ascii="Arial" w:hAnsi="Arial"/>
          <w:szCs w:val="24"/>
          <w:lang w:val="de-DE"/>
        </w:rPr>
        <w:t>Geschäfte</w:t>
      </w:r>
      <w:r w:rsidRPr="00A53174">
        <w:rPr>
          <w:rFonts w:ascii="Arial" w:hAnsi="Arial"/>
          <w:szCs w:val="24"/>
          <w:lang w:val="de-DE"/>
        </w:rPr>
        <w:t xml:space="preserve"> machen jetzt schon fast die Hälfte des Weltanlagemarkts aus.</w:t>
      </w:r>
    </w:p>
    <w:p w:rsidR="00943FAC" w:rsidRPr="00A53174" w:rsidRDefault="00943FAC" w:rsidP="002D2371">
      <w:pPr>
        <w:spacing w:after="80" w:line="240" w:lineRule="auto"/>
        <w:jc w:val="both"/>
        <w:rPr>
          <w:szCs w:val="24"/>
          <w:lang w:val="de-DE"/>
        </w:rPr>
      </w:pPr>
      <w:r w:rsidRPr="00A53174">
        <w:rPr>
          <w:rFonts w:ascii="Arial" w:hAnsi="Arial"/>
          <w:b/>
          <w:szCs w:val="24"/>
          <w:lang w:val="de-DE"/>
        </w:rPr>
        <w:t xml:space="preserve">Nicht die Einführung einer weitreichenden FTT birgt Risiken – ganz im Gegenteil: Politisch </w:t>
      </w:r>
      <w:r>
        <w:rPr>
          <w:rFonts w:ascii="Arial" w:hAnsi="Arial"/>
          <w:b/>
          <w:szCs w:val="24"/>
          <w:lang w:val="de-DE"/>
        </w:rPr>
        <w:t xml:space="preserve">und ökonomisch </w:t>
      </w:r>
      <w:r w:rsidRPr="00A53174">
        <w:rPr>
          <w:rFonts w:ascii="Arial" w:hAnsi="Arial"/>
          <w:b/>
          <w:szCs w:val="24"/>
          <w:lang w:val="de-DE"/>
        </w:rPr>
        <w:t>riskant wäre es, nur traditionelle Anlageformen zu besteuern und dadurch Einnahmen</w:t>
      </w:r>
      <w:r>
        <w:rPr>
          <w:rFonts w:ascii="Arial" w:hAnsi="Arial"/>
          <w:b/>
          <w:szCs w:val="24"/>
          <w:lang w:val="de-DE"/>
        </w:rPr>
        <w:t>, Stabilität</w:t>
      </w:r>
      <w:r w:rsidRPr="00A53174">
        <w:rPr>
          <w:rFonts w:ascii="Arial" w:hAnsi="Arial"/>
          <w:b/>
          <w:szCs w:val="24"/>
          <w:lang w:val="de-DE"/>
        </w:rPr>
        <w:t xml:space="preserve"> und Glaubwürdigkeit zu verlieren.</w:t>
      </w:r>
      <w:r w:rsidRPr="00A53174">
        <w:rPr>
          <w:rFonts w:ascii="Arial" w:hAnsi="Arial"/>
          <w:szCs w:val="24"/>
          <w:lang w:val="de-DE"/>
        </w:rPr>
        <w:t xml:space="preserve"> </w:t>
      </w:r>
    </w:p>
    <w:sectPr w:rsidR="00943FAC" w:rsidRPr="00A53174" w:rsidSect="004B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AC" w:rsidRDefault="00943FAC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43FAC" w:rsidRDefault="00943FAC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AC" w:rsidRDefault="00943FAC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43FAC" w:rsidRDefault="00943FAC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id="1">
    <w:p w:rsidR="00943FAC" w:rsidRDefault="00943FAC">
      <w:pPr>
        <w:pStyle w:val="FootnoteText"/>
      </w:pPr>
      <w:r w:rsidRPr="002D2371">
        <w:rPr>
          <w:rStyle w:val="FootnoteReference"/>
          <w:sz w:val="16"/>
          <w:szCs w:val="24"/>
        </w:rPr>
        <w:footnoteRef/>
      </w:r>
      <w:r w:rsidRPr="00D4657F">
        <w:rPr>
          <w:sz w:val="16"/>
          <w:szCs w:val="24"/>
          <w:lang w:val="de-DE"/>
        </w:rPr>
        <w:t xml:space="preserve"> </w:t>
      </w:r>
      <w:r w:rsidRPr="002D2371">
        <w:rPr>
          <w:sz w:val="16"/>
          <w:szCs w:val="24"/>
          <w:lang w:val="de-DE"/>
        </w:rPr>
        <w:t>Die Europäische Kommission schätzt, dass 62 % der voraussichtlichen Einnahmen in Höhe von 34 Mrd. € aus Derivaten erzielt werden. Nach Schätzungen des Deutschen Instituts für Wirtschaftsforschung (DIW) würden 66 % von insgesamt 37,4 Mrd. € aus Derivaten erzielt.</w:t>
      </w:r>
      <w:r w:rsidRPr="00D4657F">
        <w:rPr>
          <w:sz w:val="16"/>
          <w:szCs w:val="24"/>
          <w:lang w:val="de-DE"/>
        </w:rPr>
        <w:t xml:space="preserve"> </w:t>
      </w:r>
      <w:r w:rsidRPr="002D2371">
        <w:rPr>
          <w:sz w:val="16"/>
          <w:szCs w:val="24"/>
          <w:lang w:val="de-DE"/>
        </w:rPr>
        <w:t xml:space="preserve">Vgl. dazu DIW, ebenda, sowie EC, Impact Assessment of the EU-11 FTT (Februar 2013), </w:t>
      </w:r>
      <w:hyperlink r:id="rId1" w:history="1">
        <w:r w:rsidRPr="002D2371">
          <w:rPr>
            <w:rStyle w:val="Hyperlink"/>
            <w:sz w:val="16"/>
            <w:szCs w:val="24"/>
            <w:lang w:val="de-DE"/>
          </w:rPr>
          <w:t>http://ec.europa.eu/taxation_customs/resources/documents/taxation/swd_2013_28_en.pdf</w:t>
        </w:r>
      </w:hyperlink>
    </w:p>
  </w:footnote>
  <w:footnote w:id="2">
    <w:p w:rsidR="00943FAC" w:rsidRDefault="00943FAC">
      <w:pPr>
        <w:pStyle w:val="FootnoteText"/>
      </w:pPr>
      <w:r w:rsidRPr="002D2371">
        <w:rPr>
          <w:rStyle w:val="FootnoteReference"/>
          <w:sz w:val="16"/>
          <w:szCs w:val="24"/>
        </w:rPr>
        <w:footnoteRef/>
      </w:r>
      <w:r w:rsidRPr="002D2371">
        <w:rPr>
          <w:sz w:val="16"/>
          <w:szCs w:val="24"/>
        </w:rPr>
        <w:t xml:space="preserve"> </w:t>
      </w:r>
      <w:r w:rsidRPr="00D4657F">
        <w:rPr>
          <w:sz w:val="16"/>
          <w:szCs w:val="24"/>
        </w:rPr>
        <w:t>Alles per B</w:t>
      </w:r>
      <w:r>
        <w:rPr>
          <w:sz w:val="16"/>
          <w:szCs w:val="24"/>
        </w:rPr>
        <w:t>ank for International Settlement (B</w:t>
      </w:r>
      <w:r w:rsidRPr="00D4657F">
        <w:rPr>
          <w:sz w:val="16"/>
          <w:szCs w:val="24"/>
        </w:rPr>
        <w:t>IS</w:t>
      </w:r>
      <w:r>
        <w:rPr>
          <w:sz w:val="16"/>
          <w:szCs w:val="24"/>
        </w:rPr>
        <w:t>)</w:t>
      </w:r>
      <w:r w:rsidRPr="00D4657F">
        <w:rPr>
          <w:sz w:val="16"/>
          <w:szCs w:val="24"/>
        </w:rPr>
        <w:t xml:space="preserve">, </w:t>
      </w:r>
      <w:r w:rsidRPr="00D4657F">
        <w:rPr>
          <w:i/>
          <w:sz w:val="16"/>
          <w:szCs w:val="24"/>
        </w:rPr>
        <w:t>Triennial Central Bank Survey</w:t>
      </w:r>
      <w:r w:rsidRPr="00D4657F">
        <w:rPr>
          <w:sz w:val="16"/>
          <w:szCs w:val="24"/>
        </w:rPr>
        <w:t xml:space="preserve">, (April 2013), </w:t>
      </w:r>
      <w:hyperlink r:id="rId2" w:history="1">
        <w:r w:rsidRPr="00D4657F">
          <w:rPr>
            <w:rStyle w:val="Hyperlink"/>
            <w:sz w:val="16"/>
            <w:szCs w:val="24"/>
          </w:rPr>
          <w:t>http://www.bis.org/publ/rpfx13ir.pdf</w:t>
        </w:r>
      </w:hyperlink>
    </w:p>
  </w:footnote>
  <w:footnote w:id="3">
    <w:p w:rsidR="00943FAC" w:rsidRDefault="00943FAC">
      <w:pPr>
        <w:pStyle w:val="FootnoteText"/>
      </w:pPr>
      <w:r w:rsidRPr="002D2371">
        <w:rPr>
          <w:rStyle w:val="FootnoteReference"/>
          <w:sz w:val="16"/>
          <w:szCs w:val="24"/>
        </w:rPr>
        <w:footnoteRef/>
      </w:r>
      <w:r w:rsidRPr="00D4657F">
        <w:rPr>
          <w:sz w:val="16"/>
          <w:szCs w:val="24"/>
          <w:lang w:val="de-DE"/>
        </w:rPr>
        <w:t xml:space="preserve"> </w:t>
      </w:r>
      <w:r w:rsidRPr="002D2371">
        <w:rPr>
          <w:sz w:val="16"/>
          <w:szCs w:val="24"/>
          <w:lang w:val="de-DE"/>
        </w:rPr>
        <w:t>15 Handelstage à 1,146 Bio. $ entsprechen 17,19 Bio. $, per BIS, ebenda.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233D"/>
    <w:multiLevelType w:val="hybridMultilevel"/>
    <w:tmpl w:val="AF48FF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QC" w:val="Finance"/>
    <w:docVar w:name="sTM" w:val="Fi - Finance.tmw"/>
  </w:docVars>
  <w:rsids>
    <w:rsidRoot w:val="00113D65"/>
    <w:rsid w:val="00036774"/>
    <w:rsid w:val="000530E0"/>
    <w:rsid w:val="00085D77"/>
    <w:rsid w:val="0009292C"/>
    <w:rsid w:val="00095F6A"/>
    <w:rsid w:val="000F04A4"/>
    <w:rsid w:val="000F7312"/>
    <w:rsid w:val="00113D65"/>
    <w:rsid w:val="00135915"/>
    <w:rsid w:val="00137C4F"/>
    <w:rsid w:val="00177475"/>
    <w:rsid w:val="00186EA0"/>
    <w:rsid w:val="00191964"/>
    <w:rsid w:val="001A66B0"/>
    <w:rsid w:val="001B759E"/>
    <w:rsid w:val="001F2EE1"/>
    <w:rsid w:val="001F7A28"/>
    <w:rsid w:val="002068A5"/>
    <w:rsid w:val="002215B7"/>
    <w:rsid w:val="00237681"/>
    <w:rsid w:val="00251402"/>
    <w:rsid w:val="00267347"/>
    <w:rsid w:val="002B571B"/>
    <w:rsid w:val="002C2E46"/>
    <w:rsid w:val="002D2371"/>
    <w:rsid w:val="002D381B"/>
    <w:rsid w:val="002E1967"/>
    <w:rsid w:val="002F5CC0"/>
    <w:rsid w:val="0035365D"/>
    <w:rsid w:val="0038251B"/>
    <w:rsid w:val="003A097D"/>
    <w:rsid w:val="003A6AEF"/>
    <w:rsid w:val="003D2215"/>
    <w:rsid w:val="004349F4"/>
    <w:rsid w:val="004736C8"/>
    <w:rsid w:val="004A2A1E"/>
    <w:rsid w:val="004B1632"/>
    <w:rsid w:val="004B2178"/>
    <w:rsid w:val="004D3E22"/>
    <w:rsid w:val="004E0984"/>
    <w:rsid w:val="00522BF0"/>
    <w:rsid w:val="0054785A"/>
    <w:rsid w:val="005556F2"/>
    <w:rsid w:val="00575E79"/>
    <w:rsid w:val="005A4783"/>
    <w:rsid w:val="005B010D"/>
    <w:rsid w:val="005D3C5E"/>
    <w:rsid w:val="005E5E2B"/>
    <w:rsid w:val="00624E01"/>
    <w:rsid w:val="006430A8"/>
    <w:rsid w:val="00661666"/>
    <w:rsid w:val="00683472"/>
    <w:rsid w:val="006E3C51"/>
    <w:rsid w:val="00784731"/>
    <w:rsid w:val="007D4558"/>
    <w:rsid w:val="007E4CF7"/>
    <w:rsid w:val="00811134"/>
    <w:rsid w:val="00892702"/>
    <w:rsid w:val="008928D8"/>
    <w:rsid w:val="008D6608"/>
    <w:rsid w:val="00922030"/>
    <w:rsid w:val="00943FAC"/>
    <w:rsid w:val="0095004F"/>
    <w:rsid w:val="009A3E01"/>
    <w:rsid w:val="009C5A2B"/>
    <w:rsid w:val="00A00DF4"/>
    <w:rsid w:val="00A30F57"/>
    <w:rsid w:val="00A341A9"/>
    <w:rsid w:val="00A34F4F"/>
    <w:rsid w:val="00A47D17"/>
    <w:rsid w:val="00A53174"/>
    <w:rsid w:val="00A64D2E"/>
    <w:rsid w:val="00AA4A53"/>
    <w:rsid w:val="00AC5E53"/>
    <w:rsid w:val="00B2293F"/>
    <w:rsid w:val="00B41A6E"/>
    <w:rsid w:val="00B80A07"/>
    <w:rsid w:val="00BE1A82"/>
    <w:rsid w:val="00BE5A7E"/>
    <w:rsid w:val="00C172E8"/>
    <w:rsid w:val="00C36777"/>
    <w:rsid w:val="00C434B9"/>
    <w:rsid w:val="00C64C0D"/>
    <w:rsid w:val="00C74C4A"/>
    <w:rsid w:val="00C928CD"/>
    <w:rsid w:val="00C953F0"/>
    <w:rsid w:val="00CD50D8"/>
    <w:rsid w:val="00CD7B64"/>
    <w:rsid w:val="00D4657F"/>
    <w:rsid w:val="00D5531C"/>
    <w:rsid w:val="00DB468C"/>
    <w:rsid w:val="00DE7534"/>
    <w:rsid w:val="00DF7751"/>
    <w:rsid w:val="00E05CA4"/>
    <w:rsid w:val="00E50710"/>
    <w:rsid w:val="00ED12A2"/>
    <w:rsid w:val="00F24570"/>
    <w:rsid w:val="00F35DDC"/>
    <w:rsid w:val="00F37F59"/>
    <w:rsid w:val="00F77EA7"/>
    <w:rsid w:val="00FA3FF9"/>
    <w:rsid w:val="00FA486C"/>
    <w:rsid w:val="00FA5197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78"/>
    <w:pPr>
      <w:spacing w:after="160" w:line="259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B2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2178"/>
    <w:rPr>
      <w:rFonts w:cs="Times New Roman"/>
      <w:snapToGrid w:val="0"/>
    </w:rPr>
  </w:style>
  <w:style w:type="character" w:styleId="FootnoteReference">
    <w:name w:val="footnote reference"/>
    <w:aliases w:val="Footnote Text Char1"/>
    <w:basedOn w:val="DefaultParagraphFont"/>
    <w:uiPriority w:val="99"/>
    <w:rsid w:val="004B217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B21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E098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s.org/publ/rpfx13ir.pdf" TargetMode="External"/><Relationship Id="rId1" Type="http://schemas.openxmlformats.org/officeDocument/2006/relationships/hyperlink" Target="http://ec.europa.eu/taxation_customs/resources/documents/taxation/swd_2013_28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418</Words>
  <Characters>2635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Carr</dc:creator>
  <cp:keywords/>
  <dc:description/>
  <cp:lastModifiedBy>Joerg</cp:lastModifiedBy>
  <cp:revision>6</cp:revision>
  <cp:lastPrinted>2014-01-27T09:28:00Z</cp:lastPrinted>
  <dcterms:created xsi:type="dcterms:W3CDTF">2014-02-05T17:25:00Z</dcterms:created>
  <dcterms:modified xsi:type="dcterms:W3CDTF">2014-02-06T21:24:00Z</dcterms:modified>
</cp:coreProperties>
</file>